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8B" w:rsidRPr="00056020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056020">
        <w:rPr>
          <w:szCs w:val="24"/>
        </w:rPr>
        <w:t xml:space="preserve">   </w:t>
      </w:r>
      <w:r w:rsidR="00CE6C8B" w:rsidRPr="00056020">
        <w:rPr>
          <w:b/>
          <w:szCs w:val="24"/>
        </w:rPr>
        <w:t>П Р О Є К Т</w:t>
      </w:r>
      <w:r w:rsidRPr="00056020">
        <w:rPr>
          <w:b/>
          <w:szCs w:val="24"/>
        </w:rPr>
        <w:t xml:space="preserve"> </w:t>
      </w:r>
    </w:p>
    <w:p w:rsidR="007A51D7" w:rsidRPr="0005602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 w:rsidRPr="00056020">
        <w:rPr>
          <w:szCs w:val="24"/>
        </w:rPr>
        <w:t xml:space="preserve">               </w:t>
      </w:r>
      <w:r w:rsidRPr="0005602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020">
        <w:rPr>
          <w:szCs w:val="24"/>
        </w:rPr>
        <w:t xml:space="preserve">                                                        </w:t>
      </w:r>
      <w:r w:rsidRPr="00056020">
        <w:rPr>
          <w:color w:val="FFFFFF"/>
          <w:szCs w:val="24"/>
          <w:u w:val="single"/>
        </w:rPr>
        <w:t>ПРОЕКТ</w:t>
      </w:r>
    </w:p>
    <w:p w:rsidR="007A51D7" w:rsidRPr="00056020" w:rsidRDefault="007A51D7" w:rsidP="007A51D7">
      <w:pPr>
        <w:pStyle w:val="a3"/>
        <w:jc w:val="center"/>
        <w:rPr>
          <w:b/>
          <w:szCs w:val="24"/>
        </w:rPr>
      </w:pPr>
      <w:r w:rsidRPr="00056020">
        <w:rPr>
          <w:b/>
          <w:szCs w:val="24"/>
        </w:rPr>
        <w:t>БУЧАНСЬКА     МІСЬКА     РАДА</w:t>
      </w:r>
    </w:p>
    <w:p w:rsidR="007A51D7" w:rsidRPr="00056020" w:rsidRDefault="007A51D7" w:rsidP="007A51D7">
      <w:pPr>
        <w:pStyle w:val="2"/>
        <w:pBdr>
          <w:bottom w:val="single" w:sz="12" w:space="1" w:color="auto"/>
        </w:pBdr>
        <w:rPr>
          <w:sz w:val="24"/>
          <w:szCs w:val="24"/>
        </w:rPr>
      </w:pPr>
    </w:p>
    <w:p w:rsidR="00584390" w:rsidRPr="00056020" w:rsidRDefault="0046221D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proofErr w:type="gramStart"/>
      <w:r w:rsidR="00056020" w:rsidRPr="00056020">
        <w:rPr>
          <w:b/>
          <w:szCs w:val="24"/>
          <w:lang w:val="ru-RU"/>
        </w:rPr>
        <w:t xml:space="preserve">ШІСТДЕСЯТ </w:t>
      </w:r>
      <w:r w:rsidR="00760663" w:rsidRPr="00056020">
        <w:rPr>
          <w:b/>
          <w:szCs w:val="24"/>
          <w:lang w:val="ru-RU"/>
        </w:rPr>
        <w:t xml:space="preserve"> </w:t>
      </w:r>
      <w:r w:rsidR="005862DA">
        <w:rPr>
          <w:b/>
          <w:szCs w:val="24"/>
          <w:lang w:val="ru-RU"/>
        </w:rPr>
        <w:t>ШОСТА</w:t>
      </w:r>
      <w:proofErr w:type="gramEnd"/>
      <w:r w:rsidR="005862DA">
        <w:rPr>
          <w:b/>
          <w:szCs w:val="24"/>
          <w:lang w:val="ru-RU"/>
        </w:rPr>
        <w:t xml:space="preserve"> СЕСІЯ </w:t>
      </w:r>
      <w:r w:rsidR="007A51D7" w:rsidRPr="00056020">
        <w:rPr>
          <w:b/>
          <w:szCs w:val="24"/>
        </w:rPr>
        <w:t>ВОСЬМОГО</w:t>
      </w:r>
      <w:r w:rsidR="00584390" w:rsidRPr="00056020">
        <w:rPr>
          <w:b/>
          <w:szCs w:val="24"/>
        </w:rPr>
        <w:t xml:space="preserve"> </w:t>
      </w:r>
      <w:r w:rsidR="007A51D7" w:rsidRPr="00056020">
        <w:rPr>
          <w:b/>
          <w:szCs w:val="24"/>
        </w:rPr>
        <w:t>СКЛИКАННЯ</w:t>
      </w:r>
    </w:p>
    <w:p w:rsidR="007A51D7" w:rsidRPr="00056020" w:rsidRDefault="00584390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r w:rsidR="00F73BC7" w:rsidRPr="00056020">
        <w:rPr>
          <w:b/>
          <w:szCs w:val="24"/>
        </w:rPr>
        <w:t>(ПОЗАЧЕРГОВЕ ЗАСІДАННЯ)</w:t>
      </w:r>
    </w:p>
    <w:p w:rsidR="00F73BC7" w:rsidRPr="00056020" w:rsidRDefault="00F73BC7" w:rsidP="007A51D7">
      <w:pPr>
        <w:jc w:val="center"/>
        <w:rPr>
          <w:b/>
          <w:sz w:val="24"/>
          <w:szCs w:val="24"/>
        </w:rPr>
      </w:pPr>
    </w:p>
    <w:p w:rsidR="007A51D7" w:rsidRPr="00056020" w:rsidRDefault="007A51D7" w:rsidP="007A51D7">
      <w:pPr>
        <w:jc w:val="center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Р  І  Ш  Е  Н  </w:t>
      </w:r>
      <w:proofErr w:type="spellStart"/>
      <w:r w:rsidRPr="00056020">
        <w:rPr>
          <w:b/>
          <w:sz w:val="24"/>
          <w:szCs w:val="24"/>
        </w:rPr>
        <w:t>Н</w:t>
      </w:r>
      <w:proofErr w:type="spellEnd"/>
      <w:r w:rsidRPr="00056020">
        <w:rPr>
          <w:b/>
          <w:sz w:val="24"/>
          <w:szCs w:val="24"/>
        </w:rPr>
        <w:t xml:space="preserve">  Я</w:t>
      </w:r>
    </w:p>
    <w:p w:rsidR="004D1175" w:rsidRPr="00056020" w:rsidRDefault="00CE6C8B" w:rsidP="004D1175">
      <w:pPr>
        <w:rPr>
          <w:b/>
          <w:sz w:val="24"/>
          <w:szCs w:val="24"/>
          <w:lang w:val="ru-RU"/>
        </w:rPr>
      </w:pPr>
      <w:r w:rsidRPr="00056020">
        <w:rPr>
          <w:b/>
          <w:sz w:val="24"/>
          <w:szCs w:val="24"/>
        </w:rPr>
        <w:t xml:space="preserve">                          </w:t>
      </w:r>
      <w:r w:rsidR="004D1175" w:rsidRPr="00056020">
        <w:rPr>
          <w:b/>
          <w:sz w:val="24"/>
          <w:szCs w:val="24"/>
        </w:rPr>
        <w:t xml:space="preserve"> </w:t>
      </w:r>
      <w:r w:rsidR="00056020" w:rsidRPr="00056020">
        <w:rPr>
          <w:b/>
          <w:sz w:val="24"/>
          <w:szCs w:val="24"/>
        </w:rPr>
        <w:t>2024</w:t>
      </w:r>
      <w:r w:rsidR="004D1175" w:rsidRPr="00056020">
        <w:rPr>
          <w:b/>
          <w:sz w:val="24"/>
          <w:szCs w:val="24"/>
        </w:rPr>
        <w:t xml:space="preserve">                                   </w:t>
      </w:r>
      <w:r w:rsidR="00760663" w:rsidRPr="00056020">
        <w:rPr>
          <w:b/>
          <w:sz w:val="24"/>
          <w:szCs w:val="24"/>
        </w:rPr>
        <w:t xml:space="preserve">    </w:t>
      </w:r>
      <w:r w:rsidR="004D1175" w:rsidRPr="00056020">
        <w:rPr>
          <w:b/>
          <w:sz w:val="24"/>
          <w:szCs w:val="24"/>
        </w:rPr>
        <w:t xml:space="preserve">              </w:t>
      </w:r>
      <w:r w:rsidR="00056020">
        <w:rPr>
          <w:b/>
          <w:sz w:val="24"/>
          <w:szCs w:val="24"/>
        </w:rPr>
        <w:t xml:space="preserve">                       </w:t>
      </w:r>
      <w:r w:rsidR="004D1175" w:rsidRPr="00056020">
        <w:rPr>
          <w:b/>
          <w:sz w:val="24"/>
          <w:szCs w:val="24"/>
        </w:rPr>
        <w:t xml:space="preserve">    </w:t>
      </w:r>
      <w:r w:rsidR="00F73BC7" w:rsidRPr="00056020">
        <w:rPr>
          <w:b/>
          <w:sz w:val="24"/>
          <w:szCs w:val="24"/>
        </w:rPr>
        <w:t xml:space="preserve">        </w:t>
      </w:r>
      <w:r w:rsidR="00DE3A37" w:rsidRPr="00056020">
        <w:rPr>
          <w:b/>
          <w:sz w:val="24"/>
          <w:szCs w:val="24"/>
        </w:rPr>
        <w:t>№</w:t>
      </w:r>
      <w:r w:rsidR="00892DD3" w:rsidRPr="00056020">
        <w:rPr>
          <w:b/>
          <w:sz w:val="24"/>
          <w:szCs w:val="24"/>
        </w:rPr>
        <w:t>__________</w:t>
      </w:r>
      <w:r w:rsidR="00056020" w:rsidRPr="00056020">
        <w:rPr>
          <w:b/>
          <w:sz w:val="24"/>
          <w:szCs w:val="24"/>
        </w:rPr>
        <w:t>6</w:t>
      </w:r>
      <w:r w:rsidR="005862DA">
        <w:rPr>
          <w:b/>
          <w:sz w:val="24"/>
          <w:szCs w:val="24"/>
        </w:rPr>
        <w:t>6</w:t>
      </w:r>
      <w:r w:rsidR="00892DD3" w:rsidRPr="00056020">
        <w:rPr>
          <w:b/>
          <w:sz w:val="24"/>
          <w:szCs w:val="24"/>
        </w:rPr>
        <w:t>-</w:t>
      </w:r>
      <w:r w:rsidR="004D1175" w:rsidRPr="00056020">
        <w:rPr>
          <w:b/>
          <w:sz w:val="24"/>
          <w:szCs w:val="24"/>
          <w:lang w:val="en-US"/>
        </w:rPr>
        <w:t>VIII</w:t>
      </w:r>
    </w:p>
    <w:p w:rsidR="007A51D7" w:rsidRPr="00056020" w:rsidRDefault="007A51D7">
      <w:pPr>
        <w:rPr>
          <w:b/>
          <w:sz w:val="24"/>
          <w:szCs w:val="24"/>
        </w:rPr>
      </w:pP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передачу матеріальних цінностей 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 «</w:t>
      </w:r>
      <w:proofErr w:type="spellStart"/>
      <w:r w:rsidRPr="00056020">
        <w:rPr>
          <w:b/>
          <w:sz w:val="24"/>
          <w:szCs w:val="24"/>
        </w:rPr>
        <w:t>Бучазеленбуд</w:t>
      </w:r>
      <w:proofErr w:type="spellEnd"/>
      <w:r w:rsidRPr="00056020">
        <w:rPr>
          <w:b/>
          <w:sz w:val="24"/>
          <w:szCs w:val="24"/>
        </w:rPr>
        <w:t xml:space="preserve">»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на баланс </w:t>
      </w:r>
      <w:proofErr w:type="spellStart"/>
      <w:r w:rsidR="005862DA">
        <w:rPr>
          <w:b/>
          <w:sz w:val="24"/>
          <w:szCs w:val="24"/>
        </w:rPr>
        <w:t>Бучанської</w:t>
      </w:r>
      <w:proofErr w:type="spellEnd"/>
      <w:r w:rsidR="005862DA">
        <w:rPr>
          <w:b/>
          <w:sz w:val="24"/>
          <w:szCs w:val="24"/>
        </w:rPr>
        <w:t xml:space="preserve"> міської ради</w:t>
      </w:r>
    </w:p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</w:t>
      </w:r>
      <w:proofErr w:type="spellStart"/>
      <w:r w:rsidR="008F37BC" w:rsidRPr="008F37BC">
        <w:rPr>
          <w:sz w:val="24"/>
          <w:szCs w:val="24"/>
        </w:rPr>
        <w:t>Україні»та</w:t>
      </w:r>
      <w:proofErr w:type="spellEnd"/>
      <w:r w:rsidR="008F37BC" w:rsidRPr="008F37BC">
        <w:rPr>
          <w:sz w:val="24"/>
          <w:szCs w:val="24"/>
        </w:rPr>
        <w:t xml:space="preserve">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 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056020">
        <w:rPr>
          <w:sz w:val="24"/>
          <w:szCs w:val="24"/>
        </w:rPr>
        <w:t xml:space="preserve">, -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Бучазеленбуд</w:t>
      </w:r>
      <w:proofErr w:type="spellEnd"/>
      <w:r>
        <w:rPr>
          <w:sz w:val="24"/>
          <w:szCs w:val="24"/>
        </w:rPr>
        <w:t xml:space="preserve">» </w:t>
      </w:r>
      <w:r w:rsidR="008F37BC" w:rsidRPr="008F37BC">
        <w:rPr>
          <w:sz w:val="24"/>
          <w:szCs w:val="24"/>
        </w:rPr>
        <w:t xml:space="preserve"> на баланс </w:t>
      </w:r>
      <w:proofErr w:type="spellStart"/>
      <w:r w:rsidR="005862DA">
        <w:rPr>
          <w:sz w:val="24"/>
          <w:szCs w:val="24"/>
        </w:rPr>
        <w:t>Бучанської</w:t>
      </w:r>
      <w:proofErr w:type="spellEnd"/>
      <w:r w:rsidR="005862DA">
        <w:rPr>
          <w:sz w:val="24"/>
          <w:szCs w:val="24"/>
        </w:rPr>
        <w:t xml:space="preserve"> міської ради</w:t>
      </w:r>
      <w:r w:rsidR="008F37BC" w:rsidRPr="008F37BC">
        <w:rPr>
          <w:sz w:val="24"/>
          <w:szCs w:val="24"/>
        </w:rPr>
        <w:t xml:space="preserve"> необоротні активи, згідно додатку 1.</w:t>
      </w: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необоротних активів </w:t>
      </w:r>
      <w:r w:rsidRPr="00243804">
        <w:rPr>
          <w:sz w:val="24"/>
          <w:szCs w:val="24"/>
        </w:rPr>
        <w:t>з балансу КП «</w:t>
      </w:r>
      <w:proofErr w:type="spellStart"/>
      <w:r w:rsidRPr="00243804">
        <w:rPr>
          <w:sz w:val="24"/>
          <w:szCs w:val="24"/>
        </w:rPr>
        <w:t>Бучазеленбуд</w:t>
      </w:r>
      <w:proofErr w:type="spellEnd"/>
      <w:r w:rsidRPr="00243804">
        <w:rPr>
          <w:sz w:val="24"/>
          <w:szCs w:val="24"/>
        </w:rPr>
        <w:t>»  на баланс КП «</w:t>
      </w:r>
      <w:proofErr w:type="spellStart"/>
      <w:r w:rsidRPr="00243804">
        <w:rPr>
          <w:sz w:val="24"/>
          <w:szCs w:val="24"/>
        </w:rPr>
        <w:t>Бучасервіс</w:t>
      </w:r>
      <w:proofErr w:type="spellEnd"/>
      <w:r w:rsidRPr="00243804"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>, 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>Прийом-передачу необоротних активів провести в термін до 31.</w:t>
      </w:r>
      <w:r w:rsidR="005862DA">
        <w:rPr>
          <w:sz w:val="24"/>
          <w:szCs w:val="24"/>
        </w:rPr>
        <w:t>12</w:t>
      </w:r>
      <w:r w:rsidR="008F37BC" w:rsidRPr="008F37BC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243804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82E84" w:rsidRPr="00056020">
        <w:rPr>
          <w:sz w:val="24"/>
          <w:szCs w:val="24"/>
        </w:rPr>
        <w:t xml:space="preserve">комісію </w:t>
      </w:r>
      <w:r w:rsidR="00243804" w:rsidRPr="00243804">
        <w:rPr>
          <w:sz w:val="24"/>
          <w:szCs w:val="24"/>
        </w:rPr>
        <w:t>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власністю.</w:t>
      </w: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056020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lastRenderedPageBreak/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Директор КП «</w:t>
      </w:r>
      <w:proofErr w:type="spellStart"/>
      <w:r w:rsidRPr="00056020">
        <w:rPr>
          <w:sz w:val="24"/>
          <w:szCs w:val="24"/>
        </w:rPr>
        <w:t>Бучазеленбуд</w:t>
      </w:r>
      <w:proofErr w:type="spellEnd"/>
      <w:r w:rsidRPr="00056020">
        <w:rPr>
          <w:sz w:val="24"/>
          <w:szCs w:val="24"/>
        </w:rPr>
        <w:t xml:space="preserve">»   </w:t>
      </w:r>
      <w:r w:rsidR="00243804">
        <w:rPr>
          <w:sz w:val="24"/>
          <w:szCs w:val="24"/>
        </w:rPr>
        <w:t xml:space="preserve">        </w:t>
      </w:r>
      <w:r w:rsidRPr="00056020">
        <w:rPr>
          <w:sz w:val="24"/>
          <w:szCs w:val="24"/>
        </w:rPr>
        <w:t xml:space="preserve">_______________  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>Віктор ГАЛУЩАК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</w:t>
      </w:r>
      <w:r w:rsidR="005862DA">
        <w:rPr>
          <w:rFonts w:eastAsiaTheme="minorEastAsia"/>
          <w:sz w:val="24"/>
          <w:szCs w:val="24"/>
        </w:rPr>
        <w:t>6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№ ______- 6</w:t>
      </w:r>
      <w:r w:rsidR="005862DA">
        <w:rPr>
          <w:rFonts w:eastAsiaTheme="minorEastAsia"/>
          <w:sz w:val="24"/>
          <w:szCs w:val="24"/>
        </w:rPr>
        <w:t>6</w:t>
      </w:r>
      <w:r w:rsidRPr="007121B5">
        <w:rPr>
          <w:rFonts w:eastAsiaTheme="minorEastAsia"/>
          <w:sz w:val="24"/>
          <w:szCs w:val="24"/>
        </w:rPr>
        <w:t xml:space="preserve">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____________2024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>Перелік необоротних активів, що передається 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 xml:space="preserve">»  на баланс </w:t>
      </w:r>
      <w:proofErr w:type="spellStart"/>
      <w:r w:rsidR="005862DA">
        <w:rPr>
          <w:rFonts w:eastAsiaTheme="minorEastAsia"/>
          <w:b/>
          <w:sz w:val="24"/>
          <w:szCs w:val="24"/>
        </w:rPr>
        <w:t>Бучанської</w:t>
      </w:r>
      <w:proofErr w:type="spellEnd"/>
      <w:r w:rsidR="005862DA">
        <w:rPr>
          <w:rFonts w:eastAsiaTheme="minorEastAsia"/>
          <w:b/>
          <w:sz w:val="24"/>
          <w:szCs w:val="24"/>
        </w:rPr>
        <w:t xml:space="preserve"> міської ради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./</w:t>
            </w: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субрах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Вартість, грн.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5862DA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121B5" w:rsidRPr="007121B5" w:rsidRDefault="005862DA" w:rsidP="00712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Прапор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26956,80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5862DA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121B5" w:rsidRPr="007121B5" w:rsidRDefault="005862DA" w:rsidP="00712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Флагшток ФС підлоговий 1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10240,00</w:t>
            </w:r>
          </w:p>
        </w:tc>
      </w:tr>
      <w:tr w:rsidR="005862DA" w:rsidRPr="007121B5" w:rsidTr="00202696">
        <w:tc>
          <w:tcPr>
            <w:tcW w:w="817" w:type="dxa"/>
          </w:tcPr>
          <w:p w:rsidR="005862DA" w:rsidRPr="007121B5" w:rsidRDefault="005862DA" w:rsidP="00586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862DA" w:rsidRDefault="005862DA" w:rsidP="00712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Інформаційний знак -логотип</w:t>
            </w:r>
          </w:p>
        </w:tc>
        <w:tc>
          <w:tcPr>
            <w:tcW w:w="1381" w:type="dxa"/>
          </w:tcPr>
          <w:p w:rsidR="005862DA" w:rsidRPr="007121B5" w:rsidRDefault="005862DA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5862DA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:rsidR="005862DA" w:rsidRDefault="005862DA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15340,00</w:t>
            </w:r>
          </w:p>
        </w:tc>
      </w:tr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7121B5">
              <w:rPr>
                <w:rFonts w:eastAsiaTheme="minorEastAsia"/>
                <w:b/>
                <w:sz w:val="24"/>
                <w:szCs w:val="24"/>
              </w:rPr>
              <w:t>В с ь о г о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5862DA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uk-UA"/>
              </w:rPr>
              <w:t>52536,80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</w:t>
      </w:r>
      <w:r>
        <w:rPr>
          <w:rFonts w:eastAsiaTheme="minorEastAsia"/>
          <w:b/>
          <w:sz w:val="24"/>
          <w:szCs w:val="24"/>
          <w:lang w:eastAsia="uk-UA"/>
        </w:rPr>
        <w:t xml:space="preserve">      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 Тарас ШАПРАВСЬКИЙ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5862DA" w:rsidRDefault="005862DA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5862DA" w:rsidRPr="007121B5" w:rsidRDefault="005862DA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</w:t>
      </w:r>
      <w:r w:rsidR="005862DA">
        <w:rPr>
          <w:rFonts w:eastAsiaTheme="minorEastAsia"/>
          <w:sz w:val="24"/>
          <w:szCs w:val="24"/>
        </w:rPr>
        <w:t>6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№ ______- 6</w:t>
      </w:r>
      <w:r w:rsidR="005862DA">
        <w:rPr>
          <w:rFonts w:eastAsiaTheme="minorEastAsia"/>
          <w:sz w:val="24"/>
          <w:szCs w:val="24"/>
        </w:rPr>
        <w:t>6</w:t>
      </w:r>
      <w:r w:rsidRPr="007121B5">
        <w:rPr>
          <w:rFonts w:eastAsiaTheme="minorEastAsia"/>
          <w:sz w:val="24"/>
          <w:szCs w:val="24"/>
        </w:rPr>
        <w:t xml:space="preserve">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____________2024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5862DA" w:rsidP="005862DA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Світлана ЯКУБЕНКО</w:t>
      </w:r>
      <w:r w:rsidR="007121B5">
        <w:rPr>
          <w:rFonts w:eastAsiaTheme="minorEastAsia"/>
          <w:sz w:val="24"/>
          <w:szCs w:val="24"/>
          <w:lang w:eastAsia="uk-UA"/>
        </w:rPr>
        <w:t xml:space="preserve"> 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</w:t>
      </w:r>
      <w:r w:rsidRPr="005862DA">
        <w:rPr>
          <w:rFonts w:eastAsiaTheme="minorEastAsia"/>
          <w:sz w:val="24"/>
          <w:szCs w:val="24"/>
          <w:lang w:eastAsia="uk-UA"/>
        </w:rPr>
        <w:t>ача</w:t>
      </w:r>
      <w:r>
        <w:rPr>
          <w:rFonts w:eastAsiaTheme="minorEastAsia"/>
          <w:sz w:val="24"/>
          <w:szCs w:val="24"/>
          <w:lang w:eastAsia="uk-UA"/>
        </w:rPr>
        <w:t>льник відділу бухгалтерського  обліку та фінансового забезпечення</w:t>
      </w:r>
      <w:r w:rsidRPr="005862DA">
        <w:t xml:space="preserve"> </w:t>
      </w:r>
      <w:proofErr w:type="spellStart"/>
      <w:r w:rsidRPr="005862DA">
        <w:rPr>
          <w:rFonts w:eastAsiaTheme="minorEastAsia"/>
          <w:sz w:val="24"/>
          <w:szCs w:val="24"/>
          <w:lang w:eastAsia="uk-UA"/>
        </w:rPr>
        <w:t>Бучанської</w:t>
      </w:r>
      <w:proofErr w:type="spellEnd"/>
      <w:r w:rsidRPr="005862DA">
        <w:rPr>
          <w:rFonts w:eastAsiaTheme="minorEastAsia"/>
          <w:sz w:val="24"/>
          <w:szCs w:val="24"/>
          <w:lang w:eastAsia="uk-UA"/>
        </w:rPr>
        <w:t xml:space="preserve"> міської ради</w:t>
      </w:r>
      <w:r w:rsidR="007121B5"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5862DA" w:rsidRPr="007121B5" w:rsidRDefault="005862DA" w:rsidP="005862DA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Інна ЛЕВКІВСЬКА</w:t>
      </w:r>
      <w:r>
        <w:rPr>
          <w:rFonts w:eastAsiaTheme="minorEastAsia"/>
          <w:sz w:val="24"/>
          <w:szCs w:val="24"/>
          <w:lang w:eastAsia="uk-UA"/>
        </w:rPr>
        <w:t xml:space="preserve">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</w:t>
      </w:r>
      <w:r w:rsidRPr="005862DA">
        <w:rPr>
          <w:rFonts w:eastAsiaTheme="minorEastAsia"/>
          <w:sz w:val="24"/>
          <w:szCs w:val="24"/>
          <w:lang w:eastAsia="uk-UA"/>
        </w:rPr>
        <w:t>ача</w:t>
      </w:r>
      <w:r>
        <w:rPr>
          <w:rFonts w:eastAsiaTheme="minorEastAsia"/>
          <w:sz w:val="24"/>
          <w:szCs w:val="24"/>
          <w:lang w:eastAsia="uk-UA"/>
        </w:rPr>
        <w:t xml:space="preserve">льник </w:t>
      </w:r>
      <w:r>
        <w:rPr>
          <w:rFonts w:eastAsiaTheme="minorEastAsia"/>
          <w:sz w:val="24"/>
          <w:szCs w:val="24"/>
          <w:lang w:eastAsia="uk-UA"/>
        </w:rPr>
        <w:t xml:space="preserve">організаційно-контрольного </w:t>
      </w:r>
      <w:r>
        <w:rPr>
          <w:rFonts w:eastAsiaTheme="minorEastAsia"/>
          <w:sz w:val="24"/>
          <w:szCs w:val="24"/>
          <w:lang w:eastAsia="uk-UA"/>
        </w:rPr>
        <w:t xml:space="preserve">відділу </w:t>
      </w:r>
      <w:proofErr w:type="spellStart"/>
      <w:r w:rsidRPr="005862DA">
        <w:rPr>
          <w:rFonts w:eastAsiaTheme="minorEastAsia"/>
          <w:sz w:val="24"/>
          <w:szCs w:val="24"/>
          <w:lang w:eastAsia="uk-UA"/>
        </w:rPr>
        <w:t>Бучанської</w:t>
      </w:r>
      <w:proofErr w:type="spellEnd"/>
      <w:r w:rsidRPr="005862DA">
        <w:rPr>
          <w:rFonts w:eastAsiaTheme="minorEastAsia"/>
          <w:sz w:val="24"/>
          <w:szCs w:val="24"/>
          <w:lang w:eastAsia="uk-UA"/>
        </w:rPr>
        <w:t xml:space="preserve"> міської ради</w:t>
      </w:r>
      <w:r>
        <w:rPr>
          <w:rFonts w:eastAsiaTheme="minorEastAsia"/>
          <w:sz w:val="24"/>
          <w:szCs w:val="24"/>
          <w:lang w:eastAsia="uk-UA"/>
        </w:rPr>
        <w:t>.</w:t>
      </w:r>
      <w:bookmarkStart w:id="0" w:name="_GoBack"/>
      <w:bookmarkEnd w:id="0"/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           </w:t>
      </w:r>
      <w:r w:rsidR="00BE091B">
        <w:rPr>
          <w:rFonts w:eastAsiaTheme="minorEastAsia"/>
          <w:b/>
          <w:sz w:val="24"/>
          <w:szCs w:val="24"/>
          <w:lang w:eastAsia="uk-UA"/>
        </w:rPr>
        <w:t xml:space="preserve">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Тарас ШАПРАВСЬКИЙ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6897"/>
    <w:rsid w:val="00582E84"/>
    <w:rsid w:val="00584390"/>
    <w:rsid w:val="005862DA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A4228"/>
    <w:rsid w:val="00AA46D4"/>
    <w:rsid w:val="00AB3102"/>
    <w:rsid w:val="00AF505D"/>
    <w:rsid w:val="00BB77F2"/>
    <w:rsid w:val="00BE091B"/>
    <w:rsid w:val="00C076D6"/>
    <w:rsid w:val="00C519A7"/>
    <w:rsid w:val="00C60F69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E82DD-4BC5-4E20-9A58-02F188AD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16</cp:revision>
  <cp:lastPrinted>2024-12-03T10:04:00Z</cp:lastPrinted>
  <dcterms:created xsi:type="dcterms:W3CDTF">2022-11-28T13:04:00Z</dcterms:created>
  <dcterms:modified xsi:type="dcterms:W3CDTF">2024-12-03T10:04:00Z</dcterms:modified>
</cp:coreProperties>
</file>